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5519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1276"/>
        <w:gridCol w:w="3627"/>
      </w:tblGrid>
      <w:tr w:rsidR="00A06425" w:rsidRPr="00A06425" w14:paraId="3FF2BBD2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A775B35" w14:textId="77777777"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91357F" w:rsidRPr="0091357F">
              <w:rPr>
                <w:rFonts w:asciiTheme="minorHAnsi" w:hAnsiTheme="minorHAnsi" w:cstheme="minorHAnsi"/>
                <w:i/>
              </w:rPr>
              <w:t xml:space="preserve">System Informatyczny Inspekcji Weterynaryjnej IW-SYSTEM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14:paraId="67B2FE7B" w14:textId="77777777" w:rsidTr="00A57699">
        <w:tc>
          <w:tcPr>
            <w:tcW w:w="562" w:type="dxa"/>
            <w:shd w:val="clear" w:color="auto" w:fill="auto"/>
            <w:vAlign w:val="center"/>
          </w:tcPr>
          <w:p w14:paraId="5E1C50A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4E65E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A7AC2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48423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47E718" w14:textId="77777777"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3627" w:type="dxa"/>
            <w:vAlign w:val="center"/>
          </w:tcPr>
          <w:p w14:paraId="6D79760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14:paraId="56D32341" w14:textId="77777777" w:rsidTr="00A57699">
        <w:tc>
          <w:tcPr>
            <w:tcW w:w="562" w:type="dxa"/>
            <w:shd w:val="clear" w:color="auto" w:fill="auto"/>
          </w:tcPr>
          <w:p w14:paraId="58D99737" w14:textId="77777777"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E8AED5A" w14:textId="77777777"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2C05D67" w14:textId="77777777" w:rsidR="00211AB5" w:rsidRDefault="00FC475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</w:p>
        </w:tc>
        <w:tc>
          <w:tcPr>
            <w:tcW w:w="6946" w:type="dxa"/>
            <w:shd w:val="clear" w:color="auto" w:fill="auto"/>
          </w:tcPr>
          <w:p w14:paraId="48CC0BBD" w14:textId="77777777" w:rsidR="00FC4754" w:rsidRPr="00FC4754" w:rsidRDefault="00FC4754" w:rsidP="00FC475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 p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otwierdza informację przedstawioną w załączniku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nr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1 do pisma Ministra Rolnictwa i Rozwoju Wsi, że na 2022 rok zaplanowano kwotę 3.000 tys. zł z przeznaczeniem na system informatyczny Inspekcji Weterynaryjnej. </w:t>
            </w:r>
          </w:p>
          <w:p w14:paraId="56EB2AE6" w14:textId="77777777" w:rsidR="00FC4754" w:rsidRPr="00FC4754" w:rsidRDefault="00FC4754" w:rsidP="00FC475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Jednocześnie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MF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zauważa, że na 2023 rok, na ten sam cel, planowana kwota również wynosi  3.000 tys. zł. Tymczasem ze zaktualizowanego opisu założeń projektu informatycznego, ujętego w pkt „4.1. Koszty ogólne projektu wraz ze sposobem finansowania” wynika, że kwota przeznaczona na to zadanie w 2023 roku, ma wynieść łącznie 21.223.778,48 zł. </w:t>
            </w:r>
          </w:p>
          <w:p w14:paraId="16D9A036" w14:textId="77777777" w:rsidR="00FC4754" w:rsidRPr="00FC4754" w:rsidRDefault="00FC4754" w:rsidP="00FC475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Zgodnie z informacją z opisu, że realizacja projektu odbywać się będzie </w:t>
            </w:r>
            <w:r w:rsidR="009672A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bez konieczności występowania o dodatkowe środki z budżetu państwa </w:t>
            </w:r>
            <w:r w:rsidR="009672A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>Ministerstwo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Finansów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>przyjmuj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, że pozostała kwota wydatków na to zadanie w 2023 roku nie będzie stanowiła wydatku majątkowego, bądź też zostanie sfinansowana ze środków Programu Operacyjnego Polska Cyfrowa. </w:t>
            </w:r>
          </w:p>
          <w:p w14:paraId="35E3E540" w14:textId="77777777" w:rsidR="00211AB5" w:rsidRPr="00211AB5" w:rsidRDefault="00FC4754" w:rsidP="00FC475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MF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>przyjmuj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, że konieczność wygospodarowania środków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t xml:space="preserve">z budżetu państwa na utrzymanie projektu (pkt „4.3 Koszty ogólne utrzymania wraz ze sposobem finansowania”) do 2028 roku nie będzie powodować konieczności zwiększenia limitu dysponenta </w:t>
            </w:r>
            <w:r w:rsidRPr="00FC4754">
              <w:rPr>
                <w:rFonts w:asciiTheme="minorHAnsi" w:hAnsiTheme="minorHAnsi" w:cstheme="minorHAnsi"/>
                <w:sz w:val="22"/>
                <w:szCs w:val="22"/>
              </w:rPr>
              <w:br/>
              <w:t>części 32 - Rolnictwo.</w:t>
            </w:r>
          </w:p>
        </w:tc>
        <w:tc>
          <w:tcPr>
            <w:tcW w:w="1276" w:type="dxa"/>
            <w:shd w:val="clear" w:color="auto" w:fill="auto"/>
          </w:tcPr>
          <w:p w14:paraId="02DE937B" w14:textId="77777777"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7" w:type="dxa"/>
          </w:tcPr>
          <w:p w14:paraId="17346373" w14:textId="492B59A3" w:rsidR="00CB6961" w:rsidRDefault="004F202A" w:rsidP="00901059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podstawie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 xml:space="preserve"> informacj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>mailow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otrzymanej 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>z Ministerstwa Funduszy i Polityki Regionalnej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potwierdza, że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 xml:space="preserve"> po podpisaniu umowy o dofinansowanie w ramach POPC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wystąpi 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>z wnioskiem o uruchomienie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>rezerwy celowej</w:t>
            </w:r>
            <w:r w:rsidR="00901059">
              <w:rPr>
                <w:rFonts w:asciiTheme="minorHAnsi" w:hAnsiTheme="minorHAnsi" w:cstheme="minorHAnsi"/>
                <w:sz w:val="22"/>
                <w:szCs w:val="22"/>
              </w:rPr>
              <w:t xml:space="preserve"> na to zadanie na 202</w:t>
            </w:r>
            <w:r w:rsidR="00F5105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901059">
              <w:rPr>
                <w:rFonts w:asciiTheme="minorHAnsi" w:hAnsiTheme="minorHAnsi" w:cstheme="minorHAnsi"/>
                <w:sz w:val="22"/>
                <w:szCs w:val="22"/>
              </w:rPr>
              <w:t xml:space="preserve">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8156B7E" w14:textId="1F1AA246" w:rsidR="00901059" w:rsidRPr="00901059" w:rsidRDefault="00901059" w:rsidP="00901059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1059">
              <w:rPr>
                <w:rFonts w:asciiTheme="minorHAnsi" w:hAnsiTheme="minorHAnsi" w:cstheme="minorHAnsi"/>
                <w:sz w:val="22"/>
                <w:szCs w:val="22"/>
              </w:rPr>
              <w:t xml:space="preserve">W kwestii zapewnienia </w:t>
            </w:r>
            <w:r w:rsidR="00567D31" w:rsidRPr="00901059">
              <w:rPr>
                <w:rFonts w:asciiTheme="minorHAnsi" w:hAnsiTheme="minorHAnsi" w:cstheme="minorHAnsi"/>
                <w:sz w:val="22"/>
                <w:szCs w:val="22"/>
              </w:rPr>
              <w:t xml:space="preserve">przez Ministra Rolnictwa i Rozwoju Wsi </w:t>
            </w:r>
            <w:r w:rsidRPr="00901059">
              <w:rPr>
                <w:rFonts w:asciiTheme="minorHAnsi" w:hAnsiTheme="minorHAnsi" w:cstheme="minorHAnsi"/>
                <w:sz w:val="22"/>
                <w:szCs w:val="22"/>
              </w:rPr>
              <w:t>finansowania kosztów utrzymania systemu w kolejnych latach</w:t>
            </w:r>
            <w:r w:rsidR="009810C8">
              <w:rPr>
                <w:rFonts w:asciiTheme="minorHAnsi" w:hAnsiTheme="minorHAnsi" w:cstheme="minorHAnsi"/>
                <w:sz w:val="22"/>
                <w:szCs w:val="22"/>
              </w:rPr>
              <w:t xml:space="preserve"> z budżetu państwa</w:t>
            </w:r>
            <w:r w:rsidRPr="00901059">
              <w:rPr>
                <w:rFonts w:asciiTheme="minorHAnsi" w:hAnsiTheme="minorHAnsi" w:cstheme="minorHAnsi"/>
                <w:sz w:val="22"/>
                <w:szCs w:val="22"/>
              </w:rPr>
              <w:t>, to nie jest to możliwe, ponieważ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059">
              <w:rPr>
                <w:rFonts w:asciiTheme="minorHAnsi" w:hAnsiTheme="minorHAnsi" w:cstheme="minorHAnsi"/>
                <w:sz w:val="22"/>
                <w:szCs w:val="22"/>
              </w:rPr>
              <w:t>ustawy budżetowe uchwalane są co roku, a limity wydatków corocznie określane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01059">
              <w:rPr>
                <w:rFonts w:asciiTheme="minorHAnsi" w:hAnsiTheme="minorHAnsi" w:cstheme="minorHAnsi"/>
                <w:sz w:val="22"/>
                <w:szCs w:val="22"/>
              </w:rPr>
              <w:t>przez Ministra Finansów.</w:t>
            </w:r>
            <w:r w:rsidR="00A32828">
              <w:rPr>
                <w:rFonts w:asciiTheme="minorHAnsi" w:hAnsiTheme="minorHAnsi" w:cstheme="minorHAnsi"/>
                <w:sz w:val="22"/>
                <w:szCs w:val="22"/>
              </w:rPr>
              <w:t xml:space="preserve"> Na tym etapie </w:t>
            </w:r>
            <w:proofErr w:type="spellStart"/>
            <w:r w:rsidR="00A32828"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 w:rsidR="00A32828">
              <w:rPr>
                <w:rFonts w:asciiTheme="minorHAnsi" w:hAnsiTheme="minorHAnsi" w:cstheme="minorHAnsi"/>
                <w:sz w:val="22"/>
                <w:szCs w:val="22"/>
              </w:rPr>
              <w:t xml:space="preserve"> nie przewiduje się </w:t>
            </w:r>
            <w:r w:rsidR="000F0A64">
              <w:rPr>
                <w:rFonts w:asciiTheme="minorHAnsi" w:hAnsiTheme="minorHAnsi" w:cstheme="minorHAnsi"/>
                <w:sz w:val="22"/>
                <w:szCs w:val="22"/>
              </w:rPr>
              <w:t>zmian</w:t>
            </w:r>
            <w:r w:rsidR="00A32828">
              <w:rPr>
                <w:rFonts w:asciiTheme="minorHAnsi" w:hAnsiTheme="minorHAnsi" w:cstheme="minorHAnsi"/>
                <w:sz w:val="22"/>
                <w:szCs w:val="22"/>
              </w:rPr>
              <w:t xml:space="preserve"> limitu wydatków dla GIW na ten cel.</w:t>
            </w:r>
          </w:p>
          <w:p w14:paraId="6DA97A00" w14:textId="38BD2BC1" w:rsidR="005B20BE" w:rsidRDefault="009308B5" w:rsidP="005B20BE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1059">
              <w:rPr>
                <w:rFonts w:asciiTheme="minorHAnsi" w:hAnsiTheme="minorHAnsi" w:cstheme="minorHAnsi"/>
                <w:sz w:val="22"/>
                <w:szCs w:val="22"/>
              </w:rPr>
              <w:t>W kwestii zapewnienia finansowania kosztów utrzymania systemu w kolejnych latach</w:t>
            </w:r>
            <w:r w:rsidR="00901059" w:rsidRPr="009010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>w ramach POPC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MRiRW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10C8">
              <w:rPr>
                <w:rFonts w:asciiTheme="minorHAnsi" w:hAnsiTheme="minorHAnsi" w:cstheme="minorHAnsi"/>
                <w:sz w:val="22"/>
                <w:szCs w:val="22"/>
              </w:rPr>
              <w:t xml:space="preserve">może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wystąpi</w:t>
            </w:r>
            <w:r w:rsidR="009810C8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202A">
              <w:rPr>
                <w:rFonts w:asciiTheme="minorHAnsi" w:hAnsiTheme="minorHAnsi" w:cstheme="minorHAnsi"/>
                <w:sz w:val="22"/>
                <w:szCs w:val="22"/>
              </w:rPr>
              <w:t>z wnioskiem 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zapewnienie środków finansowych na ten cel </w:t>
            </w:r>
            <w:r w:rsidRPr="009010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01059" w:rsidRPr="00901059">
              <w:rPr>
                <w:rFonts w:asciiTheme="minorHAnsi" w:hAnsiTheme="minorHAnsi" w:cstheme="minorHAnsi"/>
                <w:sz w:val="22"/>
                <w:szCs w:val="22"/>
              </w:rPr>
              <w:t>zgodnie z rozporządzeniem Ministra Finansów z dnia 9 grudnia 2010 r.</w:t>
            </w:r>
            <w:r w:rsidR="009010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01059" w:rsidRPr="005B20B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w sprawie wniosków o zapewnienie finansowania lub dofinansowania z budżetu państwa projektów finansowanych z udziałem </w:t>
            </w:r>
            <w:r w:rsidR="00901059" w:rsidRPr="005B20B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środków pochodzących z budżetu</w:t>
            </w:r>
            <w:r w:rsidR="000C7B98" w:rsidRPr="005B20B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901059" w:rsidRPr="005B20B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Unii Europejskiej oraz niepodlegających zwrotowi środków z pomocy udzielonej</w:t>
            </w:r>
            <w:r w:rsidR="000C7B98" w:rsidRPr="005B20B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901059" w:rsidRPr="005B20B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przez państwa członkowskie Europejskiego Porozumienia o Wolnym Handlu</w:t>
            </w:r>
            <w:r w:rsidR="000C7B98" w:rsidRPr="005B20B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901059" w:rsidRPr="005B20B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(EFTA)</w:t>
            </w:r>
            <w:r w:rsidR="009810C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o ile </w:t>
            </w:r>
            <w:r w:rsidR="00901059" w:rsidRPr="009010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810C8">
              <w:rPr>
                <w:rFonts w:asciiTheme="minorHAnsi" w:hAnsiTheme="minorHAnsi" w:cstheme="minorHAnsi"/>
                <w:sz w:val="22"/>
                <w:szCs w:val="22"/>
              </w:rPr>
              <w:t xml:space="preserve"> do tych kosztów </w:t>
            </w:r>
            <w:r w:rsidR="00901059" w:rsidRPr="00901059">
              <w:rPr>
                <w:rFonts w:asciiTheme="minorHAnsi" w:hAnsiTheme="minorHAnsi" w:cstheme="minorHAnsi"/>
                <w:sz w:val="22"/>
                <w:szCs w:val="22"/>
              </w:rPr>
              <w:t xml:space="preserve"> mają</w:t>
            </w:r>
            <w:r w:rsidR="000C7B9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01059" w:rsidRPr="00901059">
              <w:rPr>
                <w:rFonts w:asciiTheme="minorHAnsi" w:hAnsiTheme="minorHAnsi" w:cstheme="minorHAnsi"/>
                <w:sz w:val="22"/>
                <w:szCs w:val="22"/>
              </w:rPr>
              <w:t>zastosowanie przepisy ustawy Prawo zamówień publicznych.</w:t>
            </w:r>
          </w:p>
          <w:p w14:paraId="2FCC973F" w14:textId="4B33DE02" w:rsidR="005B20BE" w:rsidRPr="00A06425" w:rsidRDefault="005B20BE" w:rsidP="005B20BE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3BB" w:rsidRPr="00A06425" w14:paraId="3FB0F831" w14:textId="77777777" w:rsidTr="00A57699">
        <w:tc>
          <w:tcPr>
            <w:tcW w:w="562" w:type="dxa"/>
            <w:shd w:val="clear" w:color="auto" w:fill="auto"/>
          </w:tcPr>
          <w:p w14:paraId="7CFC5D82" w14:textId="77777777"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1134" w:type="dxa"/>
            <w:shd w:val="clear" w:color="auto" w:fill="auto"/>
          </w:tcPr>
          <w:p w14:paraId="789C4FD1" w14:textId="77777777"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FAEEE0D" w14:textId="77777777" w:rsidR="00BA43BB" w:rsidRDefault="009672A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946" w:type="dxa"/>
            <w:shd w:val="clear" w:color="auto" w:fill="auto"/>
          </w:tcPr>
          <w:p w14:paraId="14EF3C92" w14:textId="77777777" w:rsidR="00BA43BB" w:rsidRPr="007A762A" w:rsidRDefault="009672A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9672AB">
              <w:rPr>
                <w:rFonts w:asciiTheme="minorHAnsi" w:hAnsiTheme="minorHAnsi" w:cstheme="minorHAnsi"/>
                <w:sz w:val="22"/>
                <w:szCs w:val="22"/>
              </w:rPr>
              <w:t>pkt. 4.3 koszty utrzymania trwałości projektu nadal pozostają na zbyt wysokim poziomie w stosunku do kosztu ogólnego projektu, tj. 142,82 %.</w:t>
            </w:r>
          </w:p>
        </w:tc>
        <w:tc>
          <w:tcPr>
            <w:tcW w:w="1276" w:type="dxa"/>
            <w:shd w:val="clear" w:color="auto" w:fill="auto"/>
          </w:tcPr>
          <w:p w14:paraId="38F36A55" w14:textId="77777777"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7" w:type="dxa"/>
          </w:tcPr>
          <w:p w14:paraId="403E202D" w14:textId="44D0B698" w:rsidR="009572AB" w:rsidRDefault="009572AB" w:rsidP="00A840F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W drodze przeprowadzonej analizy biznesowej i analizy informatycznej w ramach prac przygotowawczych zespołu projektowego GIW przygotowanie IW do wdrożenia systemu teleinformatycznego jakim jest IW-System wymagałby utworzenia dedykowanej jednostki organizacyjnej do obsługi systemu</w:t>
            </w:r>
            <w:r w:rsidR="00BD65E8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(obsługa IT, </w:t>
            </w:r>
            <w:proofErr w:type="spellStart"/>
            <w:r w:rsidR="00BD65E8">
              <w:rPr>
                <w:rStyle w:val="eop"/>
                <w:rFonts w:ascii="Calibri" w:hAnsi="Calibri" w:cs="Calibri"/>
                <w:sz w:val="22"/>
                <w:szCs w:val="22"/>
              </w:rPr>
              <w:t>help</w:t>
            </w:r>
            <w:proofErr w:type="spellEnd"/>
            <w:r w:rsidR="00BD65E8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BD65E8">
              <w:rPr>
                <w:rStyle w:val="eop"/>
                <w:rFonts w:ascii="Calibri" w:hAnsi="Calibri" w:cs="Calibri"/>
                <w:sz w:val="22"/>
                <w:szCs w:val="22"/>
              </w:rPr>
              <w:t>desk</w:t>
            </w:r>
            <w:proofErr w:type="spellEnd"/>
            <w:r w:rsidR="00BD65E8">
              <w:rPr>
                <w:rStyle w:val="eop"/>
                <w:rFonts w:ascii="Calibri" w:hAnsi="Calibri" w:cs="Calibri"/>
                <w:sz w:val="22"/>
                <w:szCs w:val="22"/>
              </w:rPr>
              <w:t>, serwisowanie)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. Dodatkowo koni</w:t>
            </w:r>
            <w:r w:rsidR="007233DA">
              <w:rPr>
                <w:rStyle w:val="eop"/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czne byłoby przeprowadzenie zakup</w:t>
            </w:r>
            <w:r w:rsidR="00057A47">
              <w:rPr>
                <w:rStyle w:val="eop"/>
                <w:rFonts w:ascii="Calibri" w:hAnsi="Calibri" w:cs="Calibri"/>
                <w:sz w:val="22"/>
                <w:szCs w:val="22"/>
              </w:rPr>
              <w:t>ów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 xml:space="preserve"> infrastruktury informatycznej (</w:t>
            </w:r>
            <w:r w:rsidR="00E06D34">
              <w:rPr>
                <w:rStyle w:val="eop"/>
                <w:rFonts w:ascii="Calibri" w:hAnsi="Calibri" w:cs="Calibri"/>
                <w:sz w:val="22"/>
                <w:szCs w:val="22"/>
              </w:rPr>
              <w:t>serwery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 xml:space="preserve">, </w:t>
            </w:r>
            <w:r w:rsidR="00E06D34">
              <w:rPr>
                <w:rStyle w:val="eop"/>
                <w:rFonts w:ascii="Calibri" w:hAnsi="Calibri" w:cs="Calibri"/>
                <w:sz w:val="22"/>
                <w:szCs w:val="22"/>
              </w:rPr>
              <w:t>serwerownie, oprogramowanie, infrastruktura sieciowa itp.). Szacowany koszt takiej inwestycji znacząco przekr</w:t>
            </w:r>
            <w:r w:rsidR="00057A47">
              <w:rPr>
                <w:rStyle w:val="eop"/>
                <w:rFonts w:ascii="Calibri" w:hAnsi="Calibri" w:cs="Calibri"/>
                <w:sz w:val="22"/>
                <w:szCs w:val="22"/>
              </w:rPr>
              <w:t>oczyłby</w:t>
            </w:r>
            <w:r w:rsidR="00E06D34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200.000 tyś zł. Jest to wydatek, który nie jest możliwy do zrealizowania w ramach budżetu GIW i nie mógłby być zakupiony w ramach postępowania pozakonkursowego POPC w ramach działania 2.1. Dodatkowo wdrożone przepisy UE nakładają obowiązek </w:t>
            </w:r>
            <w:r w:rsidR="00DF07CE">
              <w:rPr>
                <w:rStyle w:val="eop"/>
                <w:rFonts w:ascii="Calibri" w:hAnsi="Calibri" w:cs="Calibri"/>
                <w:sz w:val="22"/>
                <w:szCs w:val="22"/>
              </w:rPr>
              <w:t xml:space="preserve">przekazywania danych dot. zużycia substancji przeciwdrobnoustrojowych na poziomie gospodarstwa do KE </w:t>
            </w:r>
            <w:r w:rsidR="00DF07CE" w:rsidRPr="00E56713">
              <w:rPr>
                <w:rStyle w:val="eop"/>
                <w:rFonts w:ascii="Calibri" w:hAnsi="Calibri" w:cs="Calibri"/>
                <w:sz w:val="22"/>
                <w:szCs w:val="22"/>
              </w:rPr>
              <w:lastRenderedPageBreak/>
              <w:t>począwszy od 2024 r., tj. dane za 2023.</w:t>
            </w:r>
            <w:r w:rsidR="007233DA" w:rsidRPr="00E56713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</w:t>
            </w:r>
            <w:r w:rsidR="00BD65E8" w:rsidRPr="00E56713">
              <w:rPr>
                <w:rStyle w:val="eop"/>
                <w:rFonts w:ascii="Calibri" w:hAnsi="Calibri" w:cs="Calibri"/>
                <w:sz w:val="22"/>
                <w:szCs w:val="22"/>
              </w:rPr>
              <w:t xml:space="preserve">W związku z tym zaplanowano usługę zewnętrzną zamiast kosztownego i długotrwałego budowania osobnego zaplecza </w:t>
            </w:r>
            <w:proofErr w:type="spellStart"/>
            <w:r w:rsidR="00BD65E8" w:rsidRPr="00E56713">
              <w:rPr>
                <w:rStyle w:val="eop"/>
                <w:rFonts w:ascii="Calibri" w:hAnsi="Calibri" w:cs="Calibri"/>
                <w:sz w:val="22"/>
                <w:szCs w:val="22"/>
              </w:rPr>
              <w:t>techniczno</w:t>
            </w:r>
            <w:proofErr w:type="spellEnd"/>
            <w:r w:rsidR="00BD65E8" w:rsidRPr="00E56713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– informatycznego GIW.</w:t>
            </w:r>
          </w:p>
          <w:p w14:paraId="2242AA72" w14:textId="77777777" w:rsidR="009572AB" w:rsidRDefault="009572AB" w:rsidP="00A840F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14:paraId="603EEFB5" w14:textId="385C5D2C" w:rsidR="00BA43BB" w:rsidRDefault="00A840FD" w:rsidP="00A840F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 xml:space="preserve">Ze względu na brak zaplecza technicznego i kadrowego na utrzymanie i rozwijanie </w:t>
            </w:r>
            <w:r w:rsidR="00057A47">
              <w:rPr>
                <w:rStyle w:val="eop"/>
                <w:rFonts w:ascii="Calibri" w:hAnsi="Calibri" w:cs="Calibri"/>
                <w:sz w:val="22"/>
                <w:szCs w:val="22"/>
              </w:rPr>
              <w:t>systemu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 xml:space="preserve"> w ramach utrzymania skutków</w:t>
            </w:r>
            <w:r w:rsidR="009572AB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projektu, GIW zmuszony jest do zlecenia tych zadań w ramach usług zewnętrznych. Rozwiązanie takie powoduje wzrost kosztów operacyjnych, jednakże docelowo planowane jest skorzystanie z zaplecza </w:t>
            </w:r>
            <w:r w:rsidR="00057A47">
              <w:rPr>
                <w:rStyle w:val="eop"/>
                <w:rFonts w:ascii="Calibri" w:hAnsi="Calibri" w:cs="Calibri"/>
                <w:sz w:val="22"/>
                <w:szCs w:val="22"/>
              </w:rPr>
              <w:t xml:space="preserve">budowanego przez </w:t>
            </w:r>
            <w:r w:rsidR="009572AB">
              <w:rPr>
                <w:rStyle w:val="eop"/>
                <w:rFonts w:ascii="Calibri" w:hAnsi="Calibri" w:cs="Calibri"/>
                <w:sz w:val="22"/>
                <w:szCs w:val="22"/>
              </w:rPr>
              <w:t>ARiMR.</w:t>
            </w:r>
          </w:p>
          <w:p w14:paraId="6D4308AE" w14:textId="76916CBF" w:rsidR="00DE77CD" w:rsidRPr="00A840FD" w:rsidRDefault="00DE77CD" w:rsidP="00A840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 xml:space="preserve">Po ponownej analizie kosztów utrzymania skutków projektu, obniżono wydatki </w:t>
            </w:r>
            <w:r w:rsidR="006620D9">
              <w:rPr>
                <w:rStyle w:val="eop"/>
                <w:rFonts w:ascii="Calibri" w:hAnsi="Calibri" w:cs="Calibri"/>
                <w:sz w:val="22"/>
                <w:szCs w:val="22"/>
              </w:rPr>
              <w:t>operacyjne ze względu na planowane w tym czasie rozpoczęcie kolejnych etapów rozwoju systemu.</w:t>
            </w:r>
          </w:p>
        </w:tc>
      </w:tr>
    </w:tbl>
    <w:p w14:paraId="032E48BF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596B7" w14:textId="77777777" w:rsidR="002A6258" w:rsidRDefault="002A6258" w:rsidP="00001F87">
      <w:r>
        <w:separator/>
      </w:r>
    </w:p>
  </w:endnote>
  <w:endnote w:type="continuationSeparator" w:id="0">
    <w:p w14:paraId="5D4CE7B7" w14:textId="77777777" w:rsidR="002A6258" w:rsidRDefault="002A6258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74D3D" w14:textId="77777777" w:rsidR="002A6258" w:rsidRDefault="002A6258" w:rsidP="00001F87">
      <w:r>
        <w:separator/>
      </w:r>
    </w:p>
  </w:footnote>
  <w:footnote w:type="continuationSeparator" w:id="0">
    <w:p w14:paraId="74F9305D" w14:textId="77777777" w:rsidR="002A6258" w:rsidRDefault="002A6258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F87"/>
    <w:rsid w:val="0001001E"/>
    <w:rsid w:val="00032334"/>
    <w:rsid w:val="00034258"/>
    <w:rsid w:val="000404D6"/>
    <w:rsid w:val="00057A47"/>
    <w:rsid w:val="0008402F"/>
    <w:rsid w:val="000B0113"/>
    <w:rsid w:val="000C7B98"/>
    <w:rsid w:val="000E7716"/>
    <w:rsid w:val="000F0A64"/>
    <w:rsid w:val="00140BE8"/>
    <w:rsid w:val="001434BE"/>
    <w:rsid w:val="00144344"/>
    <w:rsid w:val="0019648E"/>
    <w:rsid w:val="001B43AA"/>
    <w:rsid w:val="00211AB5"/>
    <w:rsid w:val="00214FBE"/>
    <w:rsid w:val="002247B1"/>
    <w:rsid w:val="002475FA"/>
    <w:rsid w:val="00257EDE"/>
    <w:rsid w:val="002715B2"/>
    <w:rsid w:val="00287A95"/>
    <w:rsid w:val="002A4FE0"/>
    <w:rsid w:val="002A6258"/>
    <w:rsid w:val="003124D1"/>
    <w:rsid w:val="0032056F"/>
    <w:rsid w:val="00360945"/>
    <w:rsid w:val="00372666"/>
    <w:rsid w:val="003A219C"/>
    <w:rsid w:val="003A6C81"/>
    <w:rsid w:val="003B35E1"/>
    <w:rsid w:val="003B4105"/>
    <w:rsid w:val="003E4471"/>
    <w:rsid w:val="00420706"/>
    <w:rsid w:val="004230F2"/>
    <w:rsid w:val="00425A3B"/>
    <w:rsid w:val="004352FD"/>
    <w:rsid w:val="00467D64"/>
    <w:rsid w:val="004B6543"/>
    <w:rsid w:val="004C26E3"/>
    <w:rsid w:val="004D086F"/>
    <w:rsid w:val="004F202A"/>
    <w:rsid w:val="00567D31"/>
    <w:rsid w:val="005760E4"/>
    <w:rsid w:val="005B20BE"/>
    <w:rsid w:val="005D2745"/>
    <w:rsid w:val="005E2A04"/>
    <w:rsid w:val="005F6527"/>
    <w:rsid w:val="005F6A2F"/>
    <w:rsid w:val="006320E9"/>
    <w:rsid w:val="00653A67"/>
    <w:rsid w:val="006620D9"/>
    <w:rsid w:val="00666246"/>
    <w:rsid w:val="006705EC"/>
    <w:rsid w:val="006908FD"/>
    <w:rsid w:val="006A1502"/>
    <w:rsid w:val="006C6F98"/>
    <w:rsid w:val="006E16E9"/>
    <w:rsid w:val="007233DA"/>
    <w:rsid w:val="00756688"/>
    <w:rsid w:val="00783E4F"/>
    <w:rsid w:val="007914A9"/>
    <w:rsid w:val="00791BD3"/>
    <w:rsid w:val="007A3233"/>
    <w:rsid w:val="007A762A"/>
    <w:rsid w:val="007B08C5"/>
    <w:rsid w:val="007B09ED"/>
    <w:rsid w:val="007C3EEB"/>
    <w:rsid w:val="007C7A4F"/>
    <w:rsid w:val="007E266F"/>
    <w:rsid w:val="00807385"/>
    <w:rsid w:val="00810379"/>
    <w:rsid w:val="00867EB4"/>
    <w:rsid w:val="008F35A2"/>
    <w:rsid w:val="008F63D4"/>
    <w:rsid w:val="00901059"/>
    <w:rsid w:val="0091357F"/>
    <w:rsid w:val="00923183"/>
    <w:rsid w:val="009308B5"/>
    <w:rsid w:val="00944932"/>
    <w:rsid w:val="009572AB"/>
    <w:rsid w:val="009672AB"/>
    <w:rsid w:val="009810C8"/>
    <w:rsid w:val="009A03B1"/>
    <w:rsid w:val="009D5B9B"/>
    <w:rsid w:val="009E5FDB"/>
    <w:rsid w:val="009F36F8"/>
    <w:rsid w:val="00A06425"/>
    <w:rsid w:val="00A32828"/>
    <w:rsid w:val="00A41892"/>
    <w:rsid w:val="00A43FDE"/>
    <w:rsid w:val="00A45D9B"/>
    <w:rsid w:val="00A54598"/>
    <w:rsid w:val="00A57699"/>
    <w:rsid w:val="00A7029E"/>
    <w:rsid w:val="00A840FD"/>
    <w:rsid w:val="00AC7796"/>
    <w:rsid w:val="00AD2A8A"/>
    <w:rsid w:val="00AE3425"/>
    <w:rsid w:val="00AE7186"/>
    <w:rsid w:val="00B05DCF"/>
    <w:rsid w:val="00B20306"/>
    <w:rsid w:val="00B41F02"/>
    <w:rsid w:val="00B871B6"/>
    <w:rsid w:val="00BA43BB"/>
    <w:rsid w:val="00BC62E0"/>
    <w:rsid w:val="00BD65E8"/>
    <w:rsid w:val="00C36D3D"/>
    <w:rsid w:val="00C53B5F"/>
    <w:rsid w:val="00C64B1B"/>
    <w:rsid w:val="00C76D26"/>
    <w:rsid w:val="00CB6961"/>
    <w:rsid w:val="00CD5EB0"/>
    <w:rsid w:val="00D920D1"/>
    <w:rsid w:val="00DD1D39"/>
    <w:rsid w:val="00DE1546"/>
    <w:rsid w:val="00DE77CD"/>
    <w:rsid w:val="00DF07CE"/>
    <w:rsid w:val="00E06D34"/>
    <w:rsid w:val="00E14C33"/>
    <w:rsid w:val="00E16E5E"/>
    <w:rsid w:val="00E357C6"/>
    <w:rsid w:val="00E56713"/>
    <w:rsid w:val="00E740A1"/>
    <w:rsid w:val="00E94A8A"/>
    <w:rsid w:val="00ED12AF"/>
    <w:rsid w:val="00EE6E76"/>
    <w:rsid w:val="00F006A3"/>
    <w:rsid w:val="00F4578F"/>
    <w:rsid w:val="00F51050"/>
    <w:rsid w:val="00F83C94"/>
    <w:rsid w:val="00FA1202"/>
    <w:rsid w:val="00FC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37C4C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ny"/>
    <w:rsid w:val="00A57699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A57699"/>
  </w:style>
  <w:style w:type="character" w:customStyle="1" w:styleId="eop">
    <w:name w:val="eop"/>
    <w:basedOn w:val="Domylnaczcionkaakapitu"/>
    <w:rsid w:val="00A57699"/>
  </w:style>
  <w:style w:type="character" w:customStyle="1" w:styleId="tabchar">
    <w:name w:val="tabchar"/>
    <w:basedOn w:val="Domylnaczcionkaakapitu"/>
    <w:rsid w:val="00A57699"/>
  </w:style>
  <w:style w:type="character" w:customStyle="1" w:styleId="spellingerror">
    <w:name w:val="spellingerror"/>
    <w:basedOn w:val="Domylnaczcionkaakapitu"/>
    <w:rsid w:val="00A57699"/>
  </w:style>
  <w:style w:type="paragraph" w:styleId="Poprawka">
    <w:name w:val="Revision"/>
    <w:hidden/>
    <w:uiPriority w:val="99"/>
    <w:semiHidden/>
    <w:rsid w:val="00F51050"/>
    <w:rPr>
      <w:sz w:val="24"/>
      <w:szCs w:val="24"/>
    </w:rPr>
  </w:style>
  <w:style w:type="character" w:styleId="Odwoaniedokomentarza">
    <w:name w:val="annotation reference"/>
    <w:basedOn w:val="Domylnaczcionkaakapitu"/>
    <w:rsid w:val="00F510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510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5105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51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510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88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49304-860F-46EB-8F9D-72CBDA0E4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Cieślikowska Justyna</cp:lastModifiedBy>
  <cp:revision>2</cp:revision>
  <cp:lastPrinted>2022-06-07T06:26:00Z</cp:lastPrinted>
  <dcterms:created xsi:type="dcterms:W3CDTF">2022-06-21T08:23:00Z</dcterms:created>
  <dcterms:modified xsi:type="dcterms:W3CDTF">2022-06-21T08:23:00Z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